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Вопросы на информационное совещание 31.03.2026</w:t>
      </w:r>
    </w:p>
    <w:p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Организация питания в школе</w:t>
      </w:r>
    </w:p>
    <w:p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 слайд</w:t>
      </w:r>
    </w:p>
    <w:p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Охват питания за февраль 2026. По итогам сбора сведений специалистов отдела питания. Общий по муниципалитету составил 93%. Школы, которые меньше 97%: №№ 1, 3, 14, 17, 32, 44, </w:t>
      </w:r>
      <w:proofErr w:type="spellStart"/>
      <w:r>
        <w:rPr>
          <w:rFonts w:ascii="Times New Roman" w:hAnsi="Times New Roman" w:cs="Times New Roman"/>
          <w:sz w:val="28"/>
          <w:szCs w:val="28"/>
        </w:rPr>
        <w:t>Краснинская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СОШ, Красноярская ООШ, </w:t>
      </w:r>
      <w:proofErr w:type="spellStart"/>
      <w:r>
        <w:rPr>
          <w:rFonts w:ascii="Times New Roman" w:hAnsi="Times New Roman" w:cs="Times New Roman"/>
          <w:sz w:val="28"/>
          <w:szCs w:val="28"/>
        </w:rPr>
        <w:t>Панфиловская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СОШ.</w:t>
      </w:r>
    </w:p>
    <w:p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3 слайд</w:t>
      </w:r>
    </w:p>
    <w:p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Размещение меню «</w:t>
      </w:r>
      <w:proofErr w:type="spellStart"/>
      <w:r>
        <w:rPr>
          <w:rFonts w:ascii="Times New Roman" w:hAnsi="Times New Roman" w:cs="Times New Roman"/>
          <w:sz w:val="28"/>
          <w:szCs w:val="28"/>
        </w:rPr>
        <w:t>началки</w:t>
      </w:r>
      <w:proofErr w:type="spellEnd"/>
      <w:r>
        <w:rPr>
          <w:rFonts w:ascii="Times New Roman" w:hAnsi="Times New Roman" w:cs="Times New Roman"/>
          <w:sz w:val="28"/>
          <w:szCs w:val="28"/>
        </w:rPr>
        <w:t>» на сайте школы.</w:t>
      </w:r>
    </w:p>
    <w:p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 2021 года на основании письма министерства Просвещения (№ 1158) школы РФ размещают ежедневные меню в формате </w:t>
      </w:r>
      <w:r>
        <w:rPr>
          <w:rFonts w:ascii="Times New Roman" w:hAnsi="Times New Roman" w:cs="Times New Roman"/>
          <w:sz w:val="28"/>
          <w:szCs w:val="28"/>
          <w:lang w:val="en-US"/>
        </w:rPr>
        <w:t>food</w:t>
      </w:r>
      <w:r>
        <w:rPr>
          <w:rFonts w:ascii="Times New Roman" w:hAnsi="Times New Roman" w:cs="Times New Roman"/>
          <w:sz w:val="28"/>
          <w:szCs w:val="28"/>
        </w:rPr>
        <w:t>. Анализ за 2026 года показал, что у нас ситуация до сих пор «плачевная».</w:t>
      </w:r>
    </w:p>
    <w:p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4 слайд</w:t>
      </w:r>
    </w:p>
    <w:p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13 марта отправляла на почты учреждений памятку по типичным ошибкам при размещении меню.</w:t>
      </w:r>
    </w:p>
    <w:p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5 слайд</w:t>
      </w:r>
    </w:p>
    <w:p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Заполнение мониторинга питания в ЭШ 2.0. Каждый квартал до 10 числа месяца, следующего за отчетным. До 10 апреля 2026 года.</w:t>
      </w:r>
    </w:p>
    <w:p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Позиция 4.</w:t>
      </w:r>
      <w:r>
        <w:rPr>
          <w:rFonts w:ascii="Times New Roman" w:hAnsi="Times New Roman" w:cs="Times New Roman"/>
          <w:sz w:val="28"/>
          <w:szCs w:val="28"/>
        </w:rPr>
        <w:t xml:space="preserve"> Буфет – это отдельное помещение, оснащённое необходимым оборудованием для работы. У всех школ только линия раздачи.</w:t>
      </w:r>
    </w:p>
    <w:p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Позиции 11 и 16.</w:t>
      </w:r>
      <w:r>
        <w:rPr>
          <w:rFonts w:ascii="Times New Roman" w:hAnsi="Times New Roman" w:cs="Times New Roman"/>
          <w:sz w:val="28"/>
          <w:szCs w:val="28"/>
        </w:rPr>
        <w:t xml:space="preserve"> Должны совпадать за исключением обучения на дому.</w:t>
      </w:r>
    </w:p>
    <w:p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Позиция 15.</w:t>
      </w:r>
      <w:r>
        <w:rPr>
          <w:rFonts w:ascii="Times New Roman" w:hAnsi="Times New Roman" w:cs="Times New Roman"/>
          <w:sz w:val="28"/>
          <w:szCs w:val="28"/>
        </w:rPr>
        <w:t xml:space="preserve"> Охват горячим питанием учащихся по возрастным группам (чел) В % за 2025 год получился 93,85%. Это мало! В соответствии с приказом управления образования должно быть не менее 97%.</w:t>
      </w:r>
    </w:p>
    <w:p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Школы, которые выполнили данный показатель: МБОУ "</w:t>
      </w:r>
      <w:proofErr w:type="spellStart"/>
      <w:r>
        <w:rPr>
          <w:rFonts w:ascii="Times New Roman" w:hAnsi="Times New Roman" w:cs="Times New Roman"/>
          <w:sz w:val="28"/>
          <w:szCs w:val="28"/>
        </w:rPr>
        <w:t>Мирновская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ООШ", МБОУ "</w:t>
      </w:r>
      <w:proofErr w:type="spellStart"/>
      <w:r>
        <w:rPr>
          <w:rFonts w:ascii="Times New Roman" w:hAnsi="Times New Roman" w:cs="Times New Roman"/>
          <w:sz w:val="28"/>
          <w:szCs w:val="28"/>
        </w:rPr>
        <w:t>Подгорновская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СОШ", МБОУ "</w:t>
      </w:r>
      <w:proofErr w:type="spellStart"/>
      <w:r>
        <w:rPr>
          <w:rFonts w:ascii="Times New Roman" w:hAnsi="Times New Roman" w:cs="Times New Roman"/>
          <w:sz w:val="28"/>
          <w:szCs w:val="28"/>
        </w:rPr>
        <w:t>Новинская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НОШ", МБОУ "</w:t>
      </w:r>
      <w:proofErr w:type="spellStart"/>
      <w:r>
        <w:rPr>
          <w:rFonts w:ascii="Times New Roman" w:hAnsi="Times New Roman" w:cs="Times New Roman"/>
          <w:sz w:val="28"/>
          <w:szCs w:val="28"/>
        </w:rPr>
        <w:t>Ленинуглёвская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средняя общеобразовательная школа", МБОУ "</w:t>
      </w:r>
      <w:proofErr w:type="spellStart"/>
      <w:r>
        <w:rPr>
          <w:rFonts w:ascii="Times New Roman" w:hAnsi="Times New Roman" w:cs="Times New Roman"/>
          <w:sz w:val="28"/>
          <w:szCs w:val="28"/>
        </w:rPr>
        <w:t>Шабановская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со(к)ш", МБОУ "</w:t>
      </w:r>
      <w:proofErr w:type="spellStart"/>
      <w:r>
        <w:rPr>
          <w:rFonts w:ascii="Times New Roman" w:hAnsi="Times New Roman" w:cs="Times New Roman"/>
          <w:sz w:val="28"/>
          <w:szCs w:val="28"/>
        </w:rPr>
        <w:t>Новогеоргиевская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НОШ", МБОУ "</w:t>
      </w:r>
      <w:proofErr w:type="spellStart"/>
      <w:r>
        <w:rPr>
          <w:rFonts w:ascii="Times New Roman" w:hAnsi="Times New Roman" w:cs="Times New Roman"/>
          <w:sz w:val="28"/>
          <w:szCs w:val="28"/>
        </w:rPr>
        <w:t>Чусовитинская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СОШ", МБОУ "</w:t>
      </w:r>
      <w:proofErr w:type="spellStart"/>
      <w:r>
        <w:rPr>
          <w:rFonts w:ascii="Times New Roman" w:hAnsi="Times New Roman" w:cs="Times New Roman"/>
          <w:sz w:val="28"/>
          <w:szCs w:val="28"/>
        </w:rPr>
        <w:t>Ариничевская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СОШ"</w:t>
      </w:r>
      <w:r>
        <w:rPr>
          <w:rFonts w:ascii="Times New Roman" w:hAnsi="Times New Roman" w:cs="Times New Roman"/>
          <w:sz w:val="28"/>
          <w:szCs w:val="28"/>
        </w:rPr>
        <w:tab/>
        <w:t>МБОУ СОШ №1, МБОУ ООШ №3, МАНОУ "Лицей № 4", МБНОУ "Гимназия №18", МБОУ "ООШ № 19", МБОУ ООШ №20, МБОУ ООШ №33, МБОУ ООШ № 37, МБОУ "ООШ №38", МБОУ "ООШ №42", МБОУ ООШ №73</w:t>
      </w:r>
    </w:p>
    <w:p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Остальные школы или превысили 100 % или менее 97%. Свыше 100 тоже не должно быть!</w:t>
      </w:r>
    </w:p>
    <w:p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Позиция 41</w:t>
      </w:r>
      <w:r>
        <w:rPr>
          <w:rFonts w:ascii="Times New Roman" w:hAnsi="Times New Roman" w:cs="Times New Roman"/>
          <w:sz w:val="28"/>
          <w:szCs w:val="28"/>
        </w:rPr>
        <w:t>. Продуктовые наборы мы сейчас не выдаем. Теперь только компенсация.</w:t>
      </w:r>
    </w:p>
    <w:p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6 слайд</w:t>
      </w:r>
    </w:p>
    <w:p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Позиция 45.</w:t>
      </w:r>
      <w:r>
        <w:rPr>
          <w:rFonts w:ascii="Times New Roman" w:hAnsi="Times New Roman" w:cs="Times New Roman"/>
          <w:sz w:val="28"/>
          <w:szCs w:val="28"/>
        </w:rPr>
        <w:t xml:space="preserve"> Количество школьников, нуждающихся в специализированном питании по заполненным данным 7 человек. С диабетом 5 детей (</w:t>
      </w:r>
      <w:proofErr w:type="spellStart"/>
      <w:r>
        <w:rPr>
          <w:rFonts w:ascii="Times New Roman" w:hAnsi="Times New Roman" w:cs="Times New Roman"/>
          <w:sz w:val="28"/>
          <w:szCs w:val="28"/>
        </w:rPr>
        <w:t>Демьяновская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12 гимназия, 42 школа, 73 школа), с аллергией 1 ребенок и с иными заболеваниями, требующими специализированного питания 1 ребенок. </w:t>
      </w:r>
    </w:p>
    <w:p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Должно быть соответственно специальное меню в </w:t>
      </w:r>
      <w:proofErr w:type="spellStart"/>
      <w:r>
        <w:rPr>
          <w:rFonts w:ascii="Times New Roman" w:hAnsi="Times New Roman" w:cs="Times New Roman"/>
          <w:sz w:val="28"/>
          <w:szCs w:val="28"/>
        </w:rPr>
        <w:t>Демьяновской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школе, 12 гимназии, 42 школе, 73 школе.</w:t>
      </w:r>
    </w:p>
    <w:p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7 слайд</w:t>
      </w:r>
    </w:p>
    <w:p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Позиции 87 – 99.</w:t>
      </w:r>
      <w:r>
        <w:rPr>
          <w:rFonts w:ascii="Times New Roman" w:hAnsi="Times New Roman" w:cs="Times New Roman"/>
          <w:sz w:val="28"/>
          <w:szCs w:val="28"/>
        </w:rPr>
        <w:t xml:space="preserve"> В соответствии с постановлением администрации Ленинск-Кузнецкого муниципального округа от 18.04.2025 № 900 «Об утверждении Положения о порядке обеспечения льготным питанием </w:t>
      </w:r>
      <w:proofErr w:type="gramStart"/>
      <w:r>
        <w:rPr>
          <w:rFonts w:ascii="Times New Roman" w:hAnsi="Times New Roman" w:cs="Times New Roman"/>
          <w:sz w:val="28"/>
          <w:szCs w:val="28"/>
        </w:rPr>
        <w:t>отдельных категорий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обучающихся в общеобразовательных организациях Ленинск-Кузнецкого муниципального округа за счет средств местного бюджета». Показатели обязательные для заполнения каждой школой без изменений:</w:t>
      </w:r>
    </w:p>
    <w:tbl>
      <w:tblPr>
        <w:tblW w:w="9923" w:type="dxa"/>
        <w:tblInd w:w="-5" w:type="dxa"/>
        <w:tblLook w:val="04A0" w:firstRow="1" w:lastRow="0" w:firstColumn="1" w:lastColumn="0" w:noHBand="0" w:noVBand="1"/>
      </w:tblPr>
      <w:tblGrid>
        <w:gridCol w:w="5289"/>
        <w:gridCol w:w="1216"/>
        <w:gridCol w:w="1723"/>
        <w:gridCol w:w="1695"/>
      </w:tblGrid>
      <w:tr>
        <w:trPr>
          <w:trHeight w:val="255"/>
        </w:trPr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Название показателя</w:t>
            </w:r>
          </w:p>
        </w:tc>
        <w:tc>
          <w:tcPr>
            <w:tcW w:w="11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№ позиции</w:t>
            </w:r>
          </w:p>
        </w:tc>
        <w:tc>
          <w:tcPr>
            <w:tcW w:w="15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Цифра для заполнения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Факт 2025 года</w:t>
            </w:r>
          </w:p>
        </w:tc>
      </w:tr>
      <w:tr>
        <w:trPr>
          <w:trHeight w:val="255"/>
        </w:trPr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Сумма средств, выделяемая на питание 1 учащегося льготной категории в день (руб./день)</w:t>
            </w:r>
          </w:p>
        </w:tc>
        <w:tc>
          <w:tcPr>
            <w:tcW w:w="11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87</w:t>
            </w:r>
          </w:p>
        </w:tc>
        <w:tc>
          <w:tcPr>
            <w:tcW w:w="15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X 0</w:t>
            </w:r>
          </w:p>
        </w:tc>
      </w:tr>
      <w:tr>
        <w:trPr>
          <w:trHeight w:val="255"/>
        </w:trPr>
        <w:tc>
          <w:tcPr>
            <w:tcW w:w="6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дети из многодетных малообеспеченных семей (областной бюджет)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88</w:t>
            </w:r>
          </w:p>
        </w:tc>
        <w:tc>
          <w:tcPr>
            <w:tcW w:w="1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75</w:t>
            </w:r>
          </w:p>
        </w:tc>
        <w:tc>
          <w:tcPr>
            <w:tcW w:w="10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75</w:t>
            </w:r>
          </w:p>
        </w:tc>
      </w:tr>
      <w:tr>
        <w:trPr>
          <w:trHeight w:val="255"/>
        </w:trPr>
        <w:tc>
          <w:tcPr>
            <w:tcW w:w="6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дети с ОВЗ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89</w:t>
            </w:r>
          </w:p>
        </w:tc>
        <w:tc>
          <w:tcPr>
            <w:tcW w:w="1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10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72,75</w:t>
            </w:r>
          </w:p>
        </w:tc>
      </w:tr>
      <w:tr>
        <w:trPr>
          <w:trHeight w:val="255"/>
        </w:trPr>
        <w:tc>
          <w:tcPr>
            <w:tcW w:w="6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дети-инвалиды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90</w:t>
            </w:r>
          </w:p>
        </w:tc>
        <w:tc>
          <w:tcPr>
            <w:tcW w:w="1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</w:t>
            </w:r>
          </w:p>
        </w:tc>
        <w:tc>
          <w:tcPr>
            <w:tcW w:w="10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109,86</w:t>
            </w:r>
          </w:p>
        </w:tc>
      </w:tr>
      <w:tr>
        <w:trPr>
          <w:trHeight w:val="255"/>
        </w:trPr>
        <w:tc>
          <w:tcPr>
            <w:tcW w:w="6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дети из малообеспеченных семей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91</w:t>
            </w:r>
          </w:p>
        </w:tc>
        <w:tc>
          <w:tcPr>
            <w:tcW w:w="1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30</w:t>
            </w:r>
          </w:p>
        </w:tc>
        <w:tc>
          <w:tcPr>
            <w:tcW w:w="10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17,57</w:t>
            </w:r>
          </w:p>
        </w:tc>
      </w:tr>
      <w:tr>
        <w:trPr>
          <w:trHeight w:val="255"/>
        </w:trPr>
        <w:tc>
          <w:tcPr>
            <w:tcW w:w="6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дети из многодетных семей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92</w:t>
            </w:r>
          </w:p>
        </w:tc>
        <w:tc>
          <w:tcPr>
            <w:tcW w:w="1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75</w:t>
            </w:r>
          </w:p>
        </w:tc>
        <w:tc>
          <w:tcPr>
            <w:tcW w:w="10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41,43</w:t>
            </w:r>
          </w:p>
        </w:tc>
      </w:tr>
      <w:tr>
        <w:trPr>
          <w:trHeight w:val="255"/>
        </w:trPr>
        <w:tc>
          <w:tcPr>
            <w:tcW w:w="6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дети, находящиеся под опекой (попечительством), дети в приемных семьях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93</w:t>
            </w:r>
          </w:p>
        </w:tc>
        <w:tc>
          <w:tcPr>
            <w:tcW w:w="1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30</w:t>
            </w:r>
          </w:p>
        </w:tc>
        <w:tc>
          <w:tcPr>
            <w:tcW w:w="10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22,00</w:t>
            </w:r>
          </w:p>
        </w:tc>
      </w:tr>
      <w:tr>
        <w:trPr>
          <w:trHeight w:val="255"/>
        </w:trPr>
        <w:tc>
          <w:tcPr>
            <w:tcW w:w="6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дети из семей в ТЖС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94</w:t>
            </w:r>
          </w:p>
        </w:tc>
        <w:tc>
          <w:tcPr>
            <w:tcW w:w="1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10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5,28</w:t>
            </w:r>
          </w:p>
        </w:tc>
      </w:tr>
      <w:tr>
        <w:trPr>
          <w:trHeight w:val="255"/>
        </w:trPr>
        <w:tc>
          <w:tcPr>
            <w:tcW w:w="6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дети на подвозе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95</w:t>
            </w:r>
          </w:p>
        </w:tc>
        <w:tc>
          <w:tcPr>
            <w:tcW w:w="1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30</w:t>
            </w:r>
          </w:p>
        </w:tc>
        <w:tc>
          <w:tcPr>
            <w:tcW w:w="10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12,50</w:t>
            </w:r>
          </w:p>
        </w:tc>
      </w:tr>
      <w:tr>
        <w:trPr>
          <w:trHeight w:val="255"/>
        </w:trPr>
        <w:tc>
          <w:tcPr>
            <w:tcW w:w="6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дети с туберкулезной интоксикацией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96</w:t>
            </w:r>
          </w:p>
        </w:tc>
        <w:tc>
          <w:tcPr>
            <w:tcW w:w="1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10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0,00</w:t>
            </w:r>
          </w:p>
        </w:tc>
      </w:tr>
      <w:tr>
        <w:trPr>
          <w:trHeight w:val="255"/>
        </w:trPr>
        <w:tc>
          <w:tcPr>
            <w:tcW w:w="6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дети, обучающиеся в классах спортивной направленности/кадетских классов и иных специализированных классов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97</w:t>
            </w:r>
          </w:p>
        </w:tc>
        <w:tc>
          <w:tcPr>
            <w:tcW w:w="1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50</w:t>
            </w:r>
          </w:p>
        </w:tc>
        <w:tc>
          <w:tcPr>
            <w:tcW w:w="10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16,22</w:t>
            </w:r>
          </w:p>
        </w:tc>
      </w:tr>
      <w:tr>
        <w:trPr>
          <w:trHeight w:val="255"/>
        </w:trPr>
        <w:tc>
          <w:tcPr>
            <w:tcW w:w="6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дети ветеранов боевых действий; дети граждан,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принамавших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участие в ликвидации аварии на ЧАЭС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98</w:t>
            </w:r>
          </w:p>
        </w:tc>
        <w:tc>
          <w:tcPr>
            <w:tcW w:w="1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75</w:t>
            </w:r>
          </w:p>
        </w:tc>
        <w:tc>
          <w:tcPr>
            <w:tcW w:w="10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4,17</w:t>
            </w:r>
          </w:p>
        </w:tc>
      </w:tr>
      <w:tr>
        <w:trPr>
          <w:trHeight w:val="255"/>
        </w:trPr>
        <w:tc>
          <w:tcPr>
            <w:tcW w:w="6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дети из неполных семей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99</w:t>
            </w:r>
          </w:p>
        </w:tc>
        <w:tc>
          <w:tcPr>
            <w:tcW w:w="1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10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5,56</w:t>
            </w:r>
          </w:p>
        </w:tc>
      </w:tr>
    </w:tbl>
    <w:p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дети из семей в ТЖС, дети из неполных семей – данных категорий в постановлении нет!</w:t>
      </w:r>
    </w:p>
    <w:p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Факт 2025 года программа считает среднеарифметическую цифру исходя из ваших показателей</w:t>
      </w:r>
    </w:p>
    <w:p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Позиции 73 и 100 </w:t>
      </w:r>
      <w:r>
        <w:rPr>
          <w:rFonts w:ascii="Times New Roman" w:hAnsi="Times New Roman" w:cs="Times New Roman"/>
          <w:sz w:val="28"/>
          <w:szCs w:val="28"/>
        </w:rPr>
        <w:t>должны совпадать. Количество всех льготников (73) и разбивка этих же льготников по параллелям (100).</w:t>
      </w:r>
    </w:p>
    <w:p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8 слайд</w:t>
      </w:r>
    </w:p>
    <w:p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Родительский контроль. В соответствии с методическими рекомендациями МР 2.4.0180-20 осуществляется родительский контроль организации питания. В каждой школе издан приказ о родительском контроле. </w:t>
      </w:r>
    </w:p>
    <w:p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Периодичность контроля устанавливается в положении о контроле.</w:t>
      </w:r>
    </w:p>
    <w:p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приложении № 2 имеется Форма оценочного листа.</w:t>
      </w:r>
    </w:p>
    <w:p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Пункт 5.1. СанПин 2.3/2.4 3590-20 При организации общественного питания детей в организациях, осуществляющих образовательную деятельность для контроля температуры блюд на линии раздачи должны использоваться термометры.</w:t>
      </w:r>
    </w:p>
    <w:p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 также для работы комиссии необходимо на линии раздачи иметь весы для взвешивания блюд.</w:t>
      </w:r>
    </w:p>
    <w:p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Итоги проверок нужно размещать на сайте школы в файле «Рейтинг общественной оценки» - </w:t>
      </w:r>
      <w:proofErr w:type="spellStart"/>
      <w:r>
        <w:rPr>
          <w:rFonts w:ascii="Times New Roman" w:hAnsi="Times New Roman" w:cs="Times New Roman"/>
          <w:sz w:val="28"/>
          <w:szCs w:val="28"/>
        </w:rPr>
        <w:t>findex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  <w:bookmarkStart w:id="0" w:name="_GoBack"/>
      <w:bookmarkEnd w:id="0"/>
    </w:p>
    <w:p>
      <w:pPr>
        <w:pStyle w:val="a3"/>
        <w:numPr>
          <w:ilvl w:val="0"/>
          <w:numId w:val="1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Работа в </w:t>
      </w:r>
      <w:proofErr w:type="spellStart"/>
      <w:r>
        <w:rPr>
          <w:rFonts w:ascii="Times New Roman" w:hAnsi="Times New Roman" w:cs="Times New Roman"/>
          <w:sz w:val="28"/>
          <w:szCs w:val="28"/>
        </w:rPr>
        <w:t>биллинговой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системе в 1С (</w:t>
      </w:r>
      <w:proofErr w:type="spellStart"/>
      <w:r>
        <w:rPr>
          <w:rFonts w:ascii="Times New Roman" w:hAnsi="Times New Roman" w:cs="Times New Roman"/>
          <w:sz w:val="28"/>
          <w:szCs w:val="28"/>
        </w:rPr>
        <w:t>Папшева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Ю.М.)</w:t>
      </w:r>
    </w:p>
    <w:sectPr>
      <w:pgSz w:w="11906" w:h="16838"/>
      <w:pgMar w:top="709" w:right="424" w:bottom="426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2AFF" w:usb1="4000ACF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45443D"/>
    <w:multiLevelType w:val="hybridMultilevel"/>
    <w:tmpl w:val="06740D5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5AF05BA"/>
    <w:multiLevelType w:val="hybridMultilevel"/>
    <w:tmpl w:val="C5CA48B4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8A3E618-DA67-48EE-B3E6-FE70148194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023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831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315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520</TotalTime>
  <Pages>2</Pages>
  <Words>663</Words>
  <Characters>3781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Окунева Наталья Анатольевна</dc:creator>
  <cp:keywords/>
  <dc:description/>
  <cp:lastModifiedBy>Окунева Наталья Анатольевна</cp:lastModifiedBy>
  <cp:revision>35</cp:revision>
  <dcterms:created xsi:type="dcterms:W3CDTF">2026-03-12T08:39:00Z</dcterms:created>
  <dcterms:modified xsi:type="dcterms:W3CDTF">2026-04-01T06:38:00Z</dcterms:modified>
</cp:coreProperties>
</file>